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496-6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bauarbeiten, Straßenerhaltungsmaßnahmen - Asphaltmaßnahmen 2026-2028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Bei der Ausschreibung handelt es sich um Straßenerhaltungsmaßnahmen im öffentlichen Raum der Stadt Münster.
Diese umfassen ca. 20 Einzelbaumaßnahmen &lt; 1 000 m2 und ca. 25 Einzelbaumaßnahmen &gt; 1 000 m2. Alle Einzelbaumaßnahmen liegen verteilt im Stadtgebiet von Münster. Der Ausführungszeitraum für die Maßnahmen beträgt ca. 24 Monate.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